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E784" w14:textId="77777777" w:rsidR="007D2766" w:rsidRPr="009104CD" w:rsidRDefault="007D2766" w:rsidP="007D2766">
      <w:pPr>
        <w:ind w:left="720" w:hanging="720"/>
        <w:rPr>
          <w:rFonts w:asciiTheme="minorHAnsi" w:hAnsiTheme="minorHAnsi"/>
          <w:b/>
          <w:sz w:val="20"/>
        </w:rPr>
      </w:pPr>
      <w:r w:rsidRPr="009104CD">
        <w:rPr>
          <w:rFonts w:asciiTheme="minorHAnsi" w:hAnsiTheme="minorHAnsi"/>
          <w:b/>
          <w:sz w:val="20"/>
        </w:rPr>
        <w:t>On Language and Literacy Needs Assessment and Program Assessment</w:t>
      </w:r>
    </w:p>
    <w:p w14:paraId="44336E4C" w14:textId="77777777" w:rsidR="007D2766" w:rsidRPr="009104CD" w:rsidRDefault="007D2766" w:rsidP="007D2766">
      <w:pPr>
        <w:ind w:left="720" w:hanging="720"/>
        <w:rPr>
          <w:rFonts w:asciiTheme="minorHAnsi" w:hAnsiTheme="minorHAnsi"/>
          <w:sz w:val="20"/>
        </w:rPr>
      </w:pPr>
    </w:p>
    <w:p w14:paraId="041B2E0F" w14:textId="77777777" w:rsidR="007D2766" w:rsidRPr="009104CD" w:rsidRDefault="007D2766" w:rsidP="007D2766">
      <w:pPr>
        <w:ind w:left="720" w:hanging="720"/>
        <w:rPr>
          <w:rFonts w:asciiTheme="minorHAnsi" w:eastAsiaTheme="majorEastAsia" w:hAnsiTheme="minorHAnsi"/>
          <w:sz w:val="20"/>
        </w:rPr>
      </w:pPr>
      <w:proofErr w:type="spellStart"/>
      <w:r w:rsidRPr="009104CD">
        <w:rPr>
          <w:rFonts w:asciiTheme="minorHAnsi" w:hAnsiTheme="minorHAnsi"/>
          <w:sz w:val="20"/>
        </w:rPr>
        <w:t>Altschuld</w:t>
      </w:r>
      <w:proofErr w:type="spellEnd"/>
      <w:r w:rsidRPr="009104CD">
        <w:rPr>
          <w:rFonts w:asciiTheme="minorHAnsi" w:hAnsiTheme="minorHAnsi"/>
          <w:sz w:val="20"/>
        </w:rPr>
        <w:t xml:space="preserve">, J. W., &amp; </w:t>
      </w:r>
      <w:proofErr w:type="spellStart"/>
      <w:r w:rsidRPr="009104CD">
        <w:rPr>
          <w:rFonts w:asciiTheme="minorHAnsi" w:hAnsiTheme="minorHAnsi"/>
          <w:sz w:val="20"/>
        </w:rPr>
        <w:t>Witkin</w:t>
      </w:r>
      <w:proofErr w:type="spellEnd"/>
      <w:r w:rsidRPr="009104CD">
        <w:rPr>
          <w:rFonts w:asciiTheme="minorHAnsi" w:hAnsiTheme="minorHAnsi"/>
          <w:sz w:val="20"/>
        </w:rPr>
        <w:t>, B. R. (2000)</w:t>
      </w:r>
      <w:r w:rsidRPr="009104CD">
        <w:rPr>
          <w:rStyle w:val="Emphasis"/>
          <w:rFonts w:asciiTheme="minorHAnsi" w:hAnsiTheme="minorHAnsi"/>
          <w:sz w:val="20"/>
        </w:rPr>
        <w:t xml:space="preserve">. From needs assessment to action: Transforming needs into solution strategies. </w:t>
      </w:r>
      <w:r w:rsidRPr="009104CD">
        <w:rPr>
          <w:rFonts w:asciiTheme="minorHAnsi" w:hAnsiTheme="minorHAnsi"/>
          <w:sz w:val="20"/>
        </w:rPr>
        <w:t>Thousand Oaks, CA: Sage Publications.</w:t>
      </w:r>
    </w:p>
    <w:p w14:paraId="21C29DC3" w14:textId="77777777" w:rsidR="007D2766" w:rsidRPr="009104CD" w:rsidRDefault="007D2766" w:rsidP="007D2766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Cox, M. (2011). WAC: Closing Doors or Opening Doors for Second Language Writers? </w:t>
      </w:r>
      <w:r w:rsidRPr="009104CD">
        <w:rPr>
          <w:rFonts w:asciiTheme="minorHAnsi" w:eastAsiaTheme="majorEastAsia" w:hAnsiTheme="minorHAnsi"/>
          <w:i/>
          <w:iCs/>
          <w:sz w:val="20"/>
        </w:rPr>
        <w:t xml:space="preserve">Across the Disciplines: A Journal of Language, Learning, and Academic Writing, 8, </w:t>
      </w:r>
      <w:proofErr w:type="spellStart"/>
      <w:r w:rsidRPr="009104CD">
        <w:rPr>
          <w:rFonts w:asciiTheme="minorHAnsi" w:eastAsiaTheme="majorEastAsia" w:hAnsiTheme="minorHAnsi"/>
          <w:sz w:val="20"/>
        </w:rPr>
        <w:t>n.p</w:t>
      </w:r>
      <w:proofErr w:type="spellEnd"/>
      <w:r w:rsidRPr="009104CD">
        <w:rPr>
          <w:rFonts w:asciiTheme="minorHAnsi" w:eastAsiaTheme="majorEastAsia" w:hAnsiTheme="minorHAnsi"/>
          <w:sz w:val="20"/>
        </w:rPr>
        <w:t xml:space="preserve">. Retrieved from </w:t>
      </w:r>
      <w:bookmarkStart w:id="0" w:name="_GoBack"/>
      <w:bookmarkEnd w:id="0"/>
      <w:r w:rsidRPr="009104CD">
        <w:rPr>
          <w:rFonts w:asciiTheme="minorHAnsi" w:eastAsiaTheme="majorEastAsia" w:hAnsiTheme="minorHAnsi"/>
          <w:sz w:val="20"/>
          <w:u w:val="single"/>
        </w:rPr>
        <w:fldChar w:fldCharType="begin"/>
      </w:r>
      <w:r w:rsidRPr="009104CD">
        <w:rPr>
          <w:rFonts w:asciiTheme="minorHAnsi" w:eastAsiaTheme="majorEastAsia" w:hAnsiTheme="minorHAnsi"/>
          <w:sz w:val="20"/>
          <w:u w:val="single"/>
        </w:rPr>
        <w:instrText xml:space="preserve"> HYPERLINK "http://wac.colostate.edu/atd/ell/cox.cfm" </w:instrText>
      </w:r>
      <w:r w:rsidRPr="009104CD">
        <w:rPr>
          <w:rFonts w:asciiTheme="minorHAnsi" w:hAnsiTheme="minorHAnsi"/>
          <w:sz w:val="20"/>
          <w:u w:val="single"/>
        </w:rPr>
      </w:r>
      <w:r w:rsidRPr="009104CD">
        <w:rPr>
          <w:rFonts w:asciiTheme="minorHAnsi" w:eastAsiaTheme="majorEastAsia" w:hAnsiTheme="minorHAnsi"/>
          <w:sz w:val="20"/>
          <w:u w:val="single"/>
        </w:rPr>
        <w:fldChar w:fldCharType="separate"/>
      </w:r>
      <w:r w:rsidRPr="009104CD">
        <w:rPr>
          <w:rStyle w:val="Hyperlink"/>
          <w:rFonts w:asciiTheme="minorHAnsi" w:eastAsiaTheme="majorEastAsia" w:hAnsiTheme="minorHAnsi"/>
          <w:sz w:val="20"/>
        </w:rPr>
        <w:t>http://wac.colostate.edu/atd/ell/cox.cfm</w:t>
      </w:r>
      <w:r w:rsidRPr="009104CD">
        <w:rPr>
          <w:rFonts w:asciiTheme="minorHAnsi" w:eastAsiaTheme="majorEastAsia" w:hAnsiTheme="minorHAnsi"/>
          <w:sz w:val="20"/>
        </w:rPr>
        <w:fldChar w:fldCharType="end"/>
      </w:r>
      <w:r w:rsidRPr="009104CD">
        <w:rPr>
          <w:rFonts w:asciiTheme="minorHAnsi" w:eastAsiaTheme="majorEastAsia" w:hAnsiTheme="minorHAnsi"/>
          <w:sz w:val="20"/>
        </w:rPr>
        <w:t xml:space="preserve">. </w:t>
      </w:r>
      <w:r w:rsidR="00D5445B" w:rsidRPr="009104CD">
        <w:rPr>
          <w:rFonts w:asciiTheme="minorHAnsi" w:eastAsiaTheme="majorEastAsia" w:hAnsiTheme="minorHAnsi"/>
          <w:sz w:val="20"/>
        </w:rPr>
        <w:t>(</w:t>
      </w:r>
      <w:proofErr w:type="gramStart"/>
      <w:r w:rsidR="00D5445B" w:rsidRPr="009104CD">
        <w:rPr>
          <w:rFonts w:asciiTheme="minorHAnsi" w:eastAsiaTheme="majorEastAsia" w:hAnsiTheme="minorHAnsi"/>
          <w:sz w:val="20"/>
        </w:rPr>
        <w:t>to</w:t>
      </w:r>
      <w:proofErr w:type="gramEnd"/>
      <w:r w:rsidR="00D5445B" w:rsidRPr="009104CD">
        <w:rPr>
          <w:rFonts w:asciiTheme="minorHAnsi" w:eastAsiaTheme="majorEastAsia" w:hAnsiTheme="minorHAnsi"/>
          <w:sz w:val="20"/>
        </w:rPr>
        <w:t xml:space="preserve"> see Angela </w:t>
      </w:r>
      <w:proofErr w:type="spellStart"/>
      <w:r w:rsidR="00D5445B" w:rsidRPr="009104CD">
        <w:rPr>
          <w:rFonts w:asciiTheme="minorHAnsi" w:eastAsiaTheme="majorEastAsia" w:hAnsiTheme="minorHAnsi"/>
          <w:sz w:val="20"/>
        </w:rPr>
        <w:t>Dadak’s</w:t>
      </w:r>
      <w:proofErr w:type="spellEnd"/>
      <w:r w:rsidR="00D5445B" w:rsidRPr="009104CD">
        <w:rPr>
          <w:rFonts w:asciiTheme="minorHAnsi" w:eastAsiaTheme="majorEastAsia" w:hAnsiTheme="minorHAnsi"/>
          <w:sz w:val="20"/>
        </w:rPr>
        <w:t xml:space="preserve"> survey)</w:t>
      </w:r>
    </w:p>
    <w:p w14:paraId="422B110A" w14:textId="77777777" w:rsidR="007D2766" w:rsidRPr="009104CD" w:rsidRDefault="007D2766" w:rsidP="007D2766">
      <w:pPr>
        <w:ind w:left="720" w:hanging="720"/>
        <w:rPr>
          <w:rFonts w:asciiTheme="minorHAnsi" w:eastAsiaTheme="majorEastAsia" w:hAnsiTheme="minorHAnsi"/>
          <w:sz w:val="20"/>
        </w:rPr>
      </w:pPr>
      <w:proofErr w:type="spellStart"/>
      <w:r w:rsidRPr="009104CD">
        <w:rPr>
          <w:rFonts w:asciiTheme="minorHAnsi" w:eastAsiaTheme="majorEastAsia" w:hAnsiTheme="minorHAnsi"/>
          <w:sz w:val="20"/>
        </w:rPr>
        <w:t>Henrichsen</w:t>
      </w:r>
      <w:proofErr w:type="spellEnd"/>
      <w:r w:rsidRPr="009104CD">
        <w:rPr>
          <w:rFonts w:asciiTheme="minorHAnsi" w:eastAsiaTheme="majorEastAsia" w:hAnsiTheme="minorHAnsi"/>
          <w:sz w:val="20"/>
        </w:rPr>
        <w:t xml:space="preserve">, Lynn. (1994). Conducting an ESL program self-study: 20 lessons from experience. </w:t>
      </w:r>
      <w:r w:rsidRPr="009104CD">
        <w:rPr>
          <w:rFonts w:asciiTheme="minorHAnsi" w:eastAsiaTheme="majorEastAsia" w:hAnsiTheme="minorHAnsi"/>
          <w:i/>
          <w:iCs/>
          <w:sz w:val="20"/>
        </w:rPr>
        <w:t>TESOL Journal, 3</w:t>
      </w:r>
      <w:r w:rsidRPr="009104CD">
        <w:rPr>
          <w:rFonts w:asciiTheme="minorHAnsi" w:eastAsiaTheme="majorEastAsia" w:hAnsiTheme="minorHAnsi"/>
          <w:sz w:val="20"/>
        </w:rPr>
        <w:t xml:space="preserve">(4), 8-13. </w:t>
      </w:r>
    </w:p>
    <w:p w14:paraId="09398640" w14:textId="77777777" w:rsidR="007D2766" w:rsidRPr="009104CD" w:rsidRDefault="007D2766" w:rsidP="007D2766">
      <w:pPr>
        <w:ind w:left="720" w:hanging="720"/>
        <w:rPr>
          <w:rFonts w:asciiTheme="minorHAnsi" w:eastAsiaTheme="majorEastAsia" w:hAnsiTheme="minorHAnsi"/>
          <w:sz w:val="20"/>
        </w:rPr>
      </w:pPr>
      <w:proofErr w:type="spellStart"/>
      <w:r w:rsidRPr="009104CD">
        <w:rPr>
          <w:rFonts w:asciiTheme="minorHAnsi" w:eastAsiaTheme="majorEastAsia" w:hAnsiTheme="minorHAnsi"/>
          <w:sz w:val="20"/>
        </w:rPr>
        <w:t>Oanh</w:t>
      </w:r>
      <w:proofErr w:type="spellEnd"/>
      <w:r w:rsidRPr="009104CD">
        <w:rPr>
          <w:rFonts w:asciiTheme="minorHAnsi" w:eastAsiaTheme="majorEastAsia" w:hAnsiTheme="minorHAnsi"/>
          <w:sz w:val="20"/>
        </w:rPr>
        <w:t xml:space="preserve">, H. &amp; Duong, T. (2007). Meeting students’ needs in two EAP </w:t>
      </w:r>
      <w:proofErr w:type="spellStart"/>
      <w:r w:rsidRPr="009104CD">
        <w:rPr>
          <w:rFonts w:asciiTheme="minorHAnsi" w:eastAsiaTheme="majorEastAsia" w:hAnsiTheme="minorHAnsi"/>
          <w:sz w:val="20"/>
        </w:rPr>
        <w:t>programmes</w:t>
      </w:r>
      <w:proofErr w:type="spellEnd"/>
      <w:r w:rsidRPr="009104CD">
        <w:rPr>
          <w:rFonts w:asciiTheme="minorHAnsi" w:eastAsiaTheme="majorEastAsia" w:hAnsiTheme="minorHAnsi"/>
          <w:sz w:val="20"/>
        </w:rPr>
        <w:t xml:space="preserve"> in Vietnam and New Zealand: A comparative study. </w:t>
      </w:r>
      <w:r w:rsidRPr="009104CD">
        <w:rPr>
          <w:rFonts w:asciiTheme="minorHAnsi" w:eastAsiaTheme="majorEastAsia" w:hAnsiTheme="minorHAnsi"/>
          <w:i/>
          <w:iCs/>
          <w:sz w:val="20"/>
        </w:rPr>
        <w:t>RELC Journal: A Journal of Language Teaching and Research, 38</w:t>
      </w:r>
      <w:r w:rsidRPr="009104CD">
        <w:rPr>
          <w:rFonts w:asciiTheme="minorHAnsi" w:eastAsiaTheme="majorEastAsia" w:hAnsiTheme="minorHAnsi"/>
          <w:sz w:val="20"/>
        </w:rPr>
        <w:t xml:space="preserve">(3), 324-349. </w:t>
      </w:r>
    </w:p>
    <w:p w14:paraId="7EE00203" w14:textId="77777777" w:rsidR="007D2766" w:rsidRPr="009104CD" w:rsidRDefault="007D2766" w:rsidP="007D2766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Patton, M. D. (2011). Mapping the gaps in services for L2 writers. </w:t>
      </w:r>
      <w:r w:rsidRPr="009104CD">
        <w:rPr>
          <w:rFonts w:asciiTheme="minorHAnsi" w:eastAsiaTheme="majorEastAsia" w:hAnsiTheme="minorHAnsi"/>
          <w:i/>
          <w:iCs/>
          <w:sz w:val="20"/>
        </w:rPr>
        <w:t xml:space="preserve">Across the Disciplines: A Journal of Language, Learning, and Academic Writing, 8, </w:t>
      </w:r>
      <w:proofErr w:type="spellStart"/>
      <w:r w:rsidRPr="009104CD">
        <w:rPr>
          <w:rFonts w:asciiTheme="minorHAnsi" w:eastAsiaTheme="majorEastAsia" w:hAnsiTheme="minorHAnsi"/>
          <w:sz w:val="20"/>
        </w:rPr>
        <w:t>n.p</w:t>
      </w:r>
      <w:proofErr w:type="spellEnd"/>
      <w:r w:rsidRPr="009104CD">
        <w:rPr>
          <w:rFonts w:asciiTheme="minorHAnsi" w:eastAsiaTheme="majorEastAsia" w:hAnsiTheme="minorHAnsi"/>
          <w:sz w:val="20"/>
        </w:rPr>
        <w:t xml:space="preserve">. Retrieved from </w:t>
      </w:r>
      <w:hyperlink r:id="rId7" w:history="1">
        <w:r w:rsidRPr="009104CD">
          <w:rPr>
            <w:rStyle w:val="Hyperlink"/>
            <w:rFonts w:asciiTheme="minorHAnsi" w:eastAsiaTheme="majorEastAsia" w:hAnsiTheme="minorHAnsi"/>
            <w:sz w:val="20"/>
          </w:rPr>
          <w:t>http://wac.colostate.edu/atd/ell/patton.cfm</w:t>
        </w:r>
      </w:hyperlink>
      <w:r w:rsidRPr="009104CD">
        <w:rPr>
          <w:rFonts w:asciiTheme="minorHAnsi" w:eastAsiaTheme="majorEastAsia" w:hAnsiTheme="minorHAnsi"/>
          <w:sz w:val="20"/>
        </w:rPr>
        <w:t xml:space="preserve">.  </w:t>
      </w:r>
    </w:p>
    <w:p w14:paraId="72BA3934" w14:textId="77777777" w:rsidR="009104CD" w:rsidRPr="009104CD" w:rsidRDefault="009104CD" w:rsidP="009104CD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Simpson, S. (2013). The language background survey: Issues of Construction and interpretation. </w:t>
      </w:r>
      <w:r w:rsidRPr="009104CD">
        <w:rPr>
          <w:rFonts w:asciiTheme="minorHAnsi" w:eastAsiaTheme="majorEastAsia" w:hAnsiTheme="minorHAnsi"/>
          <w:i/>
          <w:iCs/>
          <w:sz w:val="20"/>
        </w:rPr>
        <w:t>CCCC</w:t>
      </w:r>
      <w:r w:rsidRPr="009104CD">
        <w:rPr>
          <w:rFonts w:asciiTheme="minorHAnsi" w:eastAsiaTheme="majorEastAsia" w:hAnsiTheme="minorHAnsi"/>
          <w:sz w:val="20"/>
        </w:rPr>
        <w:t xml:space="preserve">, Las Vegas. </w:t>
      </w:r>
    </w:p>
    <w:p w14:paraId="6D317381" w14:textId="77777777" w:rsidR="00036400" w:rsidRPr="009104CD" w:rsidRDefault="007D2766" w:rsidP="007D2766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Wang, M-F. </w:t>
      </w:r>
      <w:proofErr w:type="gramStart"/>
      <w:r w:rsidRPr="009104CD">
        <w:rPr>
          <w:rFonts w:asciiTheme="minorHAnsi" w:eastAsiaTheme="majorEastAsia" w:hAnsiTheme="minorHAnsi"/>
          <w:sz w:val="20"/>
        </w:rPr>
        <w:t xml:space="preserve">&amp; </w:t>
      </w:r>
      <w:proofErr w:type="spellStart"/>
      <w:r w:rsidRPr="009104CD">
        <w:rPr>
          <w:rFonts w:asciiTheme="minorHAnsi" w:eastAsiaTheme="majorEastAsia" w:hAnsiTheme="minorHAnsi"/>
          <w:sz w:val="20"/>
        </w:rPr>
        <w:t>Bakken</w:t>
      </w:r>
      <w:proofErr w:type="spellEnd"/>
      <w:r w:rsidRPr="009104CD">
        <w:rPr>
          <w:rFonts w:asciiTheme="minorHAnsi" w:eastAsiaTheme="majorEastAsia" w:hAnsiTheme="minorHAnsi"/>
          <w:sz w:val="20"/>
        </w:rPr>
        <w:t>, L. (2004).</w:t>
      </w:r>
      <w:proofErr w:type="gramEnd"/>
      <w:r w:rsidRPr="009104CD">
        <w:rPr>
          <w:rFonts w:asciiTheme="minorHAnsi" w:eastAsiaTheme="majorEastAsia" w:hAnsiTheme="minorHAnsi"/>
          <w:sz w:val="20"/>
        </w:rPr>
        <w:t xml:space="preserve"> An academic writing needs assessment of English-as-a-second-language clinical investigators. </w:t>
      </w:r>
      <w:proofErr w:type="gramStart"/>
      <w:r w:rsidRPr="009104CD">
        <w:rPr>
          <w:rFonts w:asciiTheme="minorHAnsi" w:eastAsiaTheme="majorEastAsia" w:hAnsiTheme="minorHAnsi"/>
          <w:i/>
          <w:iCs/>
          <w:sz w:val="20"/>
        </w:rPr>
        <w:t>Journal of Continuing Education in the Health Professions, 24</w:t>
      </w:r>
      <w:r w:rsidRPr="009104CD">
        <w:rPr>
          <w:rFonts w:asciiTheme="minorHAnsi" w:eastAsiaTheme="majorEastAsia" w:hAnsiTheme="minorHAnsi"/>
          <w:sz w:val="20"/>
        </w:rPr>
        <w:t>(3), 181-189.</w:t>
      </w:r>
      <w:proofErr w:type="gramEnd"/>
    </w:p>
    <w:p w14:paraId="1D290032" w14:textId="77777777" w:rsidR="00D5445B" w:rsidRPr="009104CD" w:rsidRDefault="00D5445B" w:rsidP="007D2766">
      <w:pPr>
        <w:ind w:left="720" w:hanging="720"/>
        <w:rPr>
          <w:rFonts w:asciiTheme="minorHAnsi" w:eastAsiaTheme="majorEastAsia" w:hAnsiTheme="minorHAnsi"/>
          <w:sz w:val="20"/>
        </w:rPr>
      </w:pPr>
    </w:p>
    <w:p w14:paraId="48F93A08" w14:textId="77777777" w:rsidR="00D5445B" w:rsidRPr="009104CD" w:rsidRDefault="00D5445B" w:rsidP="007D2766">
      <w:pPr>
        <w:ind w:left="720" w:hanging="720"/>
        <w:rPr>
          <w:rFonts w:asciiTheme="minorHAnsi" w:eastAsiaTheme="majorEastAsia" w:hAnsiTheme="minorHAnsi"/>
          <w:b/>
          <w:sz w:val="20"/>
        </w:rPr>
      </w:pPr>
      <w:r w:rsidRPr="009104CD">
        <w:rPr>
          <w:rFonts w:asciiTheme="minorHAnsi" w:eastAsiaTheme="majorEastAsia" w:hAnsiTheme="minorHAnsi"/>
          <w:b/>
          <w:sz w:val="20"/>
        </w:rPr>
        <w:t>On Models for Graduate-Level Writing Support</w:t>
      </w:r>
    </w:p>
    <w:p w14:paraId="1C3423C5" w14:textId="77777777" w:rsidR="00D5445B" w:rsidRPr="009104CD" w:rsidRDefault="00D5445B" w:rsidP="007D2766">
      <w:pPr>
        <w:ind w:left="720" w:hanging="720"/>
        <w:rPr>
          <w:rFonts w:asciiTheme="minorHAnsi" w:eastAsiaTheme="majorEastAsia" w:hAnsiTheme="minorHAnsi"/>
          <w:sz w:val="20"/>
        </w:rPr>
      </w:pPr>
    </w:p>
    <w:p w14:paraId="174CEE66" w14:textId="77777777" w:rsidR="00442766" w:rsidRPr="009104CD" w:rsidRDefault="00442766" w:rsidP="00F23696">
      <w:pPr>
        <w:ind w:left="720" w:hanging="720"/>
        <w:rPr>
          <w:rFonts w:asciiTheme="minorHAnsi" w:hAnsiTheme="minorHAnsi"/>
          <w:sz w:val="20"/>
        </w:rPr>
      </w:pPr>
      <w:proofErr w:type="gramStart"/>
      <w:r w:rsidRPr="009104CD">
        <w:rPr>
          <w:rFonts w:asciiTheme="minorHAnsi" w:hAnsiTheme="minorHAnsi"/>
          <w:sz w:val="20"/>
        </w:rPr>
        <w:t xml:space="preserve">Cox, M. &amp; </w:t>
      </w:r>
      <w:proofErr w:type="spellStart"/>
      <w:r w:rsidRPr="009104CD">
        <w:rPr>
          <w:rFonts w:asciiTheme="minorHAnsi" w:hAnsiTheme="minorHAnsi"/>
          <w:sz w:val="20"/>
        </w:rPr>
        <w:t>Brunjes</w:t>
      </w:r>
      <w:proofErr w:type="spellEnd"/>
      <w:r w:rsidRPr="009104CD">
        <w:rPr>
          <w:rFonts w:asciiTheme="minorHAnsi" w:hAnsiTheme="minorHAnsi"/>
          <w:sz w:val="20"/>
        </w:rPr>
        <w:t xml:space="preserve">, A. </w:t>
      </w:r>
      <w:r w:rsidR="00F23696" w:rsidRPr="009104CD">
        <w:rPr>
          <w:rFonts w:asciiTheme="minorHAnsi" w:hAnsiTheme="minorHAnsi"/>
          <w:sz w:val="20"/>
        </w:rPr>
        <w:t>(2013).</w:t>
      </w:r>
      <w:proofErr w:type="gramEnd"/>
      <w:r w:rsidR="00F23696" w:rsidRPr="009104CD">
        <w:rPr>
          <w:rFonts w:asciiTheme="minorHAnsi" w:hAnsiTheme="minorHAnsi"/>
          <w:sz w:val="20"/>
        </w:rPr>
        <w:t xml:space="preserve"> Supporting faculty writing at a teaching-mission institution. In A. E. Geller &amp; M. </w:t>
      </w:r>
      <w:proofErr w:type="spellStart"/>
      <w:r w:rsidR="00F23696" w:rsidRPr="009104CD">
        <w:rPr>
          <w:rFonts w:asciiTheme="minorHAnsi" w:hAnsiTheme="minorHAnsi"/>
          <w:sz w:val="20"/>
        </w:rPr>
        <w:t>Eodice</w:t>
      </w:r>
      <w:proofErr w:type="spellEnd"/>
      <w:r w:rsidR="00F23696" w:rsidRPr="009104CD">
        <w:rPr>
          <w:rFonts w:asciiTheme="minorHAnsi" w:hAnsiTheme="minorHAnsi"/>
          <w:sz w:val="20"/>
        </w:rPr>
        <w:t xml:space="preserve"> (Eds.), </w:t>
      </w:r>
      <w:r w:rsidR="00F23696" w:rsidRPr="009104CD">
        <w:rPr>
          <w:rFonts w:asciiTheme="minorHAnsi" w:hAnsiTheme="minorHAnsi"/>
          <w:i/>
          <w:sz w:val="20"/>
        </w:rPr>
        <w:t>Working with faculty writers</w:t>
      </w:r>
      <w:r w:rsidR="00F23696" w:rsidRPr="009104CD">
        <w:rPr>
          <w:rFonts w:asciiTheme="minorHAnsi" w:hAnsiTheme="minorHAnsi"/>
          <w:sz w:val="20"/>
        </w:rPr>
        <w:t xml:space="preserve"> (191-209). </w:t>
      </w:r>
      <w:proofErr w:type="gramStart"/>
      <w:r w:rsidR="00F23696" w:rsidRPr="009104CD">
        <w:rPr>
          <w:rFonts w:asciiTheme="minorHAnsi" w:hAnsiTheme="minorHAnsi"/>
          <w:sz w:val="20"/>
        </w:rPr>
        <w:t>Utah State University Press.</w:t>
      </w:r>
      <w:proofErr w:type="gramEnd"/>
      <w:r w:rsidR="00C64218" w:rsidRPr="009104CD">
        <w:rPr>
          <w:rFonts w:asciiTheme="minorHAnsi" w:hAnsiTheme="minorHAnsi"/>
          <w:sz w:val="20"/>
        </w:rPr>
        <w:t xml:space="preserve"> </w:t>
      </w:r>
    </w:p>
    <w:p w14:paraId="7D626A82" w14:textId="77777777" w:rsidR="00442766" w:rsidRPr="009104CD" w:rsidRDefault="00442766" w:rsidP="00442766">
      <w:pPr>
        <w:ind w:left="720" w:hanging="720"/>
        <w:rPr>
          <w:rFonts w:asciiTheme="minorHAnsi" w:hAnsiTheme="minorHAnsi"/>
          <w:sz w:val="20"/>
        </w:rPr>
      </w:pPr>
      <w:proofErr w:type="spellStart"/>
      <w:proofErr w:type="gramStart"/>
      <w:r w:rsidRPr="009104CD">
        <w:rPr>
          <w:rFonts w:asciiTheme="minorHAnsi" w:hAnsiTheme="minorHAnsi"/>
          <w:sz w:val="20"/>
        </w:rPr>
        <w:t>Delyser</w:t>
      </w:r>
      <w:proofErr w:type="spellEnd"/>
      <w:r w:rsidRPr="009104CD">
        <w:rPr>
          <w:rFonts w:asciiTheme="minorHAnsi" w:hAnsiTheme="minorHAnsi"/>
          <w:sz w:val="20"/>
        </w:rPr>
        <w:t>, D. (2003).</w:t>
      </w:r>
      <w:proofErr w:type="gramEnd"/>
      <w:r w:rsidRPr="009104CD">
        <w:rPr>
          <w:rFonts w:asciiTheme="minorHAnsi" w:hAnsiTheme="minorHAnsi"/>
          <w:sz w:val="20"/>
        </w:rPr>
        <w:t xml:space="preserve"> Teaching graduate students to write: A seminar for thesis and dissertation writers. </w:t>
      </w:r>
      <w:proofErr w:type="gramStart"/>
      <w:r w:rsidRPr="009104CD">
        <w:rPr>
          <w:rFonts w:asciiTheme="minorHAnsi" w:hAnsiTheme="minorHAnsi"/>
          <w:i/>
          <w:sz w:val="20"/>
        </w:rPr>
        <w:t>Journal of Geography in Higher Education, 27,</w:t>
      </w:r>
      <w:r w:rsidRPr="009104CD">
        <w:rPr>
          <w:rFonts w:asciiTheme="minorHAnsi" w:hAnsiTheme="minorHAnsi"/>
          <w:sz w:val="20"/>
        </w:rPr>
        <w:t xml:space="preserve"> 169-181.</w:t>
      </w:r>
      <w:proofErr w:type="gramEnd"/>
    </w:p>
    <w:p w14:paraId="439D0AEB" w14:textId="77777777" w:rsidR="00F23696" w:rsidRPr="009104CD" w:rsidRDefault="00F23696" w:rsidP="00442766">
      <w:pPr>
        <w:ind w:left="720" w:hanging="720"/>
        <w:rPr>
          <w:rFonts w:asciiTheme="minorHAnsi" w:hAnsiTheme="minorHAnsi"/>
          <w:sz w:val="20"/>
        </w:rPr>
      </w:pPr>
      <w:proofErr w:type="spellStart"/>
      <w:r w:rsidRPr="009104CD">
        <w:rPr>
          <w:rFonts w:asciiTheme="minorHAnsi" w:hAnsiTheme="minorHAnsi"/>
          <w:sz w:val="20"/>
        </w:rPr>
        <w:t>Fredericksen</w:t>
      </w:r>
      <w:proofErr w:type="spellEnd"/>
      <w:r w:rsidRPr="009104CD">
        <w:rPr>
          <w:rFonts w:asciiTheme="minorHAnsi" w:hAnsiTheme="minorHAnsi"/>
          <w:sz w:val="20"/>
        </w:rPr>
        <w:t xml:space="preserve">, E. &amp; </w:t>
      </w:r>
      <w:proofErr w:type="spellStart"/>
      <w:r w:rsidRPr="009104CD">
        <w:rPr>
          <w:rFonts w:asciiTheme="minorHAnsi" w:hAnsiTheme="minorHAnsi"/>
          <w:sz w:val="20"/>
        </w:rPr>
        <w:t>Mangelsdorf</w:t>
      </w:r>
      <w:proofErr w:type="spellEnd"/>
      <w:r w:rsidRPr="009104CD">
        <w:rPr>
          <w:rFonts w:asciiTheme="minorHAnsi" w:hAnsiTheme="minorHAnsi"/>
          <w:sz w:val="20"/>
        </w:rPr>
        <w:t xml:space="preserve">, K. </w:t>
      </w:r>
      <w:r w:rsidR="00792C50" w:rsidRPr="009104CD">
        <w:rPr>
          <w:rFonts w:asciiTheme="minorHAnsi" w:hAnsiTheme="minorHAnsi"/>
          <w:sz w:val="20"/>
        </w:rPr>
        <w:t xml:space="preserve">(2014). </w:t>
      </w:r>
      <w:r w:rsidR="00C64218" w:rsidRPr="009104CD">
        <w:rPr>
          <w:rFonts w:asciiTheme="minorHAnsi" w:hAnsiTheme="minorHAnsi"/>
          <w:sz w:val="20"/>
        </w:rPr>
        <w:t xml:space="preserve">Graduate writing workshops: Crossing languages and disciplines. In T. M. Zawacki &amp; M. Cox (Eds.), </w:t>
      </w:r>
      <w:r w:rsidR="00C64218" w:rsidRPr="009104CD">
        <w:rPr>
          <w:rFonts w:asciiTheme="minorHAnsi" w:hAnsiTheme="minorHAnsi"/>
          <w:i/>
          <w:sz w:val="20"/>
        </w:rPr>
        <w:t>WAC and second language writers: Research towards linguistically and culturally inclusive practices and programs</w:t>
      </w:r>
      <w:r w:rsidR="00C64218" w:rsidRPr="009104CD">
        <w:rPr>
          <w:rFonts w:asciiTheme="minorHAnsi" w:hAnsiTheme="minorHAnsi"/>
          <w:sz w:val="20"/>
        </w:rPr>
        <w:t xml:space="preserve"> (347-367)</w:t>
      </w:r>
      <w:r w:rsidR="00792C50" w:rsidRPr="009104CD">
        <w:rPr>
          <w:rFonts w:asciiTheme="minorHAnsi" w:hAnsiTheme="minorHAnsi"/>
          <w:sz w:val="20"/>
        </w:rPr>
        <w:t xml:space="preserve">. </w:t>
      </w:r>
      <w:proofErr w:type="gramStart"/>
      <w:r w:rsidR="00792C50" w:rsidRPr="009104CD">
        <w:rPr>
          <w:rFonts w:asciiTheme="minorHAnsi" w:hAnsiTheme="minorHAnsi"/>
          <w:sz w:val="20"/>
        </w:rPr>
        <w:t>Perspectives on writing series.</w:t>
      </w:r>
      <w:proofErr w:type="gramEnd"/>
      <w:r w:rsidR="00792C50" w:rsidRPr="009104CD">
        <w:rPr>
          <w:rFonts w:asciiTheme="minorHAnsi" w:hAnsiTheme="minorHAnsi"/>
          <w:sz w:val="20"/>
        </w:rPr>
        <w:t xml:space="preserve"> WAC Clearinghouse and Parlor Press. </w:t>
      </w:r>
    </w:p>
    <w:p w14:paraId="7AB89F6D" w14:textId="77777777" w:rsidR="00442766" w:rsidRPr="009104CD" w:rsidRDefault="00442766" w:rsidP="00442766">
      <w:pPr>
        <w:ind w:left="720" w:hanging="720"/>
        <w:rPr>
          <w:rFonts w:asciiTheme="minorHAnsi" w:hAnsiTheme="minorHAnsi"/>
          <w:sz w:val="20"/>
        </w:rPr>
      </w:pPr>
      <w:proofErr w:type="spellStart"/>
      <w:r w:rsidRPr="009104CD">
        <w:rPr>
          <w:rFonts w:asciiTheme="minorHAnsi" w:hAnsiTheme="minorHAnsi"/>
          <w:sz w:val="20"/>
        </w:rPr>
        <w:t>Frodesen</w:t>
      </w:r>
      <w:proofErr w:type="spellEnd"/>
      <w:r w:rsidRPr="009104CD">
        <w:rPr>
          <w:rFonts w:asciiTheme="minorHAnsi" w:hAnsiTheme="minorHAnsi"/>
          <w:sz w:val="20"/>
        </w:rPr>
        <w:t xml:space="preserve">, J. (1995). Negotiating the syllabus: A learning-centered, interactive approach to ESL graduate writing course design. In D. Belcher &amp; G. Braine (Eds.), </w:t>
      </w:r>
      <w:r w:rsidRPr="009104CD">
        <w:rPr>
          <w:rFonts w:asciiTheme="minorHAnsi" w:hAnsiTheme="minorHAnsi"/>
          <w:i/>
          <w:sz w:val="20"/>
        </w:rPr>
        <w:t>Academic writing in a second language: Essays on research and pedagogy</w:t>
      </w:r>
      <w:r w:rsidRPr="009104CD">
        <w:rPr>
          <w:rFonts w:asciiTheme="minorHAnsi" w:hAnsiTheme="minorHAnsi"/>
          <w:sz w:val="20"/>
        </w:rPr>
        <w:t xml:space="preserve"> </w:t>
      </w:r>
      <w:r w:rsidR="00F23696" w:rsidRPr="009104CD">
        <w:rPr>
          <w:rFonts w:asciiTheme="minorHAnsi" w:hAnsiTheme="minorHAnsi"/>
          <w:sz w:val="20"/>
        </w:rPr>
        <w:t xml:space="preserve">(pp. 331-350). Norwood, NJ: </w:t>
      </w:r>
      <w:proofErr w:type="spellStart"/>
      <w:r w:rsidR="00F23696" w:rsidRPr="009104CD">
        <w:rPr>
          <w:rFonts w:asciiTheme="minorHAnsi" w:hAnsiTheme="minorHAnsi"/>
          <w:sz w:val="20"/>
        </w:rPr>
        <w:t>A</w:t>
      </w:r>
      <w:r w:rsidRPr="009104CD">
        <w:rPr>
          <w:rFonts w:asciiTheme="minorHAnsi" w:hAnsiTheme="minorHAnsi"/>
          <w:sz w:val="20"/>
        </w:rPr>
        <w:t>b</w:t>
      </w:r>
      <w:r w:rsidR="00F23696" w:rsidRPr="009104CD">
        <w:rPr>
          <w:rFonts w:asciiTheme="minorHAnsi" w:hAnsiTheme="minorHAnsi"/>
          <w:sz w:val="20"/>
        </w:rPr>
        <w:t>l</w:t>
      </w:r>
      <w:r w:rsidRPr="009104CD">
        <w:rPr>
          <w:rFonts w:asciiTheme="minorHAnsi" w:hAnsiTheme="minorHAnsi"/>
          <w:sz w:val="20"/>
        </w:rPr>
        <w:t>ex</w:t>
      </w:r>
      <w:proofErr w:type="spellEnd"/>
      <w:r w:rsidRPr="009104CD">
        <w:rPr>
          <w:rFonts w:asciiTheme="minorHAnsi" w:hAnsiTheme="minorHAnsi"/>
          <w:sz w:val="20"/>
        </w:rPr>
        <w:t xml:space="preserve">. </w:t>
      </w:r>
    </w:p>
    <w:p w14:paraId="17C9126F" w14:textId="77777777" w:rsidR="00DF5C8D" w:rsidRPr="009104CD" w:rsidRDefault="00DF5C8D" w:rsidP="00DF5C8D">
      <w:pPr>
        <w:ind w:left="720" w:hanging="720"/>
        <w:rPr>
          <w:rFonts w:asciiTheme="minorHAnsi" w:hAnsiTheme="minorHAnsi"/>
          <w:sz w:val="20"/>
        </w:rPr>
      </w:pPr>
      <w:r w:rsidRPr="009104CD">
        <w:rPr>
          <w:rFonts w:asciiTheme="minorHAnsi" w:hAnsiTheme="minorHAnsi"/>
          <w:sz w:val="20"/>
        </w:rPr>
        <w:t xml:space="preserve">Norris, C. &amp; Tardy, C. (2006). Institutional politics in the teaching of advanced academic writing: A teacher-researcher dialogue. In P. K. Matsuda, C. Ortmeier-Hooper, &amp; X. You (Eds.), The politics of second language writing: In search of the </w:t>
      </w:r>
      <w:proofErr w:type="gramStart"/>
      <w:r w:rsidRPr="009104CD">
        <w:rPr>
          <w:rFonts w:asciiTheme="minorHAnsi" w:hAnsiTheme="minorHAnsi"/>
          <w:sz w:val="20"/>
        </w:rPr>
        <w:t>promi</w:t>
      </w:r>
      <w:r w:rsidR="00F23696" w:rsidRPr="009104CD">
        <w:rPr>
          <w:rFonts w:asciiTheme="minorHAnsi" w:hAnsiTheme="minorHAnsi"/>
          <w:sz w:val="20"/>
        </w:rPr>
        <w:t>sed land</w:t>
      </w:r>
      <w:proofErr w:type="gramEnd"/>
      <w:r w:rsidR="00F23696" w:rsidRPr="009104CD">
        <w:rPr>
          <w:rFonts w:asciiTheme="minorHAnsi" w:hAnsiTheme="minorHAnsi"/>
          <w:sz w:val="20"/>
        </w:rPr>
        <w:t xml:space="preserve"> (pp. 262-279). West La</w:t>
      </w:r>
      <w:r w:rsidRPr="009104CD">
        <w:rPr>
          <w:rFonts w:asciiTheme="minorHAnsi" w:hAnsiTheme="minorHAnsi"/>
          <w:sz w:val="20"/>
        </w:rPr>
        <w:t xml:space="preserve">fayette, IN: Parlor Press. </w:t>
      </w:r>
    </w:p>
    <w:p w14:paraId="17D4ED4A" w14:textId="77777777" w:rsidR="00792C50" w:rsidRPr="009104CD" w:rsidRDefault="00792C50" w:rsidP="00792C50">
      <w:pPr>
        <w:ind w:left="720" w:hanging="720"/>
        <w:rPr>
          <w:rFonts w:asciiTheme="minorHAnsi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Phillips, T. (2014). Developing resources for success: A case study of a multilingual graduate student. </w:t>
      </w:r>
      <w:r w:rsidRPr="009104CD">
        <w:rPr>
          <w:rFonts w:asciiTheme="minorHAnsi" w:hAnsiTheme="minorHAnsi"/>
          <w:sz w:val="20"/>
        </w:rPr>
        <w:t xml:space="preserve">In T. M. Zawacki &amp; M. Cox (Eds.), </w:t>
      </w:r>
      <w:r w:rsidRPr="009104CD">
        <w:rPr>
          <w:rFonts w:asciiTheme="minorHAnsi" w:hAnsiTheme="minorHAnsi"/>
          <w:i/>
          <w:sz w:val="20"/>
        </w:rPr>
        <w:t>WAC and second language writers: Research towards linguistically and culturally inclusive practices and programs</w:t>
      </w:r>
      <w:r w:rsidRPr="009104CD">
        <w:rPr>
          <w:rFonts w:asciiTheme="minorHAnsi" w:hAnsiTheme="minorHAnsi"/>
          <w:sz w:val="20"/>
        </w:rPr>
        <w:t xml:space="preserve"> (69-91). </w:t>
      </w:r>
      <w:proofErr w:type="gramStart"/>
      <w:r w:rsidRPr="009104CD">
        <w:rPr>
          <w:rFonts w:asciiTheme="minorHAnsi" w:hAnsiTheme="minorHAnsi"/>
          <w:sz w:val="20"/>
        </w:rPr>
        <w:t>Perspectives on writing series.</w:t>
      </w:r>
      <w:proofErr w:type="gramEnd"/>
      <w:r w:rsidRPr="009104CD">
        <w:rPr>
          <w:rFonts w:asciiTheme="minorHAnsi" w:hAnsiTheme="minorHAnsi"/>
          <w:sz w:val="20"/>
        </w:rPr>
        <w:t xml:space="preserve"> WAC Clearinghouse and Parlor Press. </w:t>
      </w:r>
    </w:p>
    <w:p w14:paraId="5E9FF5DD" w14:textId="77777777" w:rsidR="00792C50" w:rsidRPr="009104CD" w:rsidRDefault="009104CD" w:rsidP="00D5445B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Phillips, T. (2012). Graduate writing groups: Shaping writing and writers from student to scholar. </w:t>
      </w:r>
      <w:r w:rsidRPr="009104CD">
        <w:rPr>
          <w:rFonts w:asciiTheme="minorHAnsi" w:eastAsiaTheme="majorEastAsia" w:hAnsiTheme="minorHAnsi"/>
          <w:i/>
          <w:iCs/>
          <w:sz w:val="20"/>
        </w:rPr>
        <w:t>Praxis: A Writing Center Journal</w:t>
      </w:r>
      <w:r w:rsidRPr="009104CD">
        <w:rPr>
          <w:rFonts w:asciiTheme="minorHAnsi" w:eastAsiaTheme="majorEastAsia" w:hAnsiTheme="minorHAnsi"/>
          <w:i/>
          <w:iCs/>
          <w:sz w:val="20"/>
        </w:rPr>
        <w:t>, 10</w:t>
      </w:r>
      <w:r w:rsidRPr="009104CD">
        <w:rPr>
          <w:rFonts w:asciiTheme="minorHAnsi" w:eastAsiaTheme="majorEastAsia" w:hAnsiTheme="minorHAnsi"/>
          <w:iCs/>
          <w:sz w:val="20"/>
        </w:rPr>
        <w:t xml:space="preserve">(1), n. p. Retrieved from </w:t>
      </w:r>
      <w:hyperlink r:id="rId8" w:history="1">
        <w:r w:rsidRPr="009104CD">
          <w:rPr>
            <w:rStyle w:val="Hyperlink"/>
            <w:rFonts w:asciiTheme="minorHAnsi" w:eastAsiaTheme="majorEastAsia" w:hAnsiTheme="minorHAnsi"/>
            <w:iCs/>
            <w:sz w:val="20"/>
          </w:rPr>
          <w:t>http://praxis.uwc.utexas.edu/index.php/praxis/article/view/81</w:t>
        </w:r>
      </w:hyperlink>
      <w:r w:rsidRPr="009104CD">
        <w:rPr>
          <w:rFonts w:asciiTheme="minorHAnsi" w:eastAsiaTheme="majorEastAsia" w:hAnsiTheme="minorHAnsi"/>
          <w:iCs/>
          <w:sz w:val="20"/>
        </w:rPr>
        <w:t xml:space="preserve">. </w:t>
      </w:r>
    </w:p>
    <w:p w14:paraId="39A81227" w14:textId="77777777" w:rsidR="00D5445B" w:rsidRPr="009104CD" w:rsidRDefault="00D5445B" w:rsidP="00D5445B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>Phillips, T. (2013). Tutor training and services for multili</w:t>
      </w:r>
      <w:r w:rsidR="00F23696" w:rsidRPr="009104CD">
        <w:rPr>
          <w:rFonts w:asciiTheme="minorHAnsi" w:eastAsiaTheme="majorEastAsia" w:hAnsiTheme="minorHAnsi"/>
          <w:sz w:val="20"/>
        </w:rPr>
        <w:t>n</w:t>
      </w:r>
      <w:r w:rsidRPr="009104CD">
        <w:rPr>
          <w:rFonts w:asciiTheme="minorHAnsi" w:eastAsiaTheme="majorEastAsia" w:hAnsiTheme="minorHAnsi"/>
          <w:sz w:val="20"/>
        </w:rPr>
        <w:t xml:space="preserve">gual graduate writers: </w:t>
      </w:r>
      <w:proofErr w:type="gramStart"/>
      <w:r w:rsidRPr="009104CD">
        <w:rPr>
          <w:rFonts w:asciiTheme="minorHAnsi" w:eastAsiaTheme="majorEastAsia" w:hAnsiTheme="minorHAnsi"/>
          <w:sz w:val="20"/>
        </w:rPr>
        <w:t>A reconsideration</w:t>
      </w:r>
      <w:proofErr w:type="gramEnd"/>
      <w:r w:rsidRPr="009104CD">
        <w:rPr>
          <w:rFonts w:asciiTheme="minorHAnsi" w:eastAsiaTheme="majorEastAsia" w:hAnsiTheme="minorHAnsi"/>
          <w:sz w:val="20"/>
        </w:rPr>
        <w:t xml:space="preserve">.  </w:t>
      </w:r>
      <w:r w:rsidRPr="009104CD">
        <w:rPr>
          <w:rFonts w:asciiTheme="minorHAnsi" w:eastAsiaTheme="majorEastAsia" w:hAnsiTheme="minorHAnsi"/>
          <w:i/>
          <w:iCs/>
          <w:sz w:val="20"/>
        </w:rPr>
        <w:t>Praxis: A Writing Center Journal, 10</w:t>
      </w:r>
      <w:r w:rsidRPr="009104CD">
        <w:rPr>
          <w:rFonts w:asciiTheme="minorHAnsi" w:eastAsiaTheme="majorEastAsia" w:hAnsiTheme="minorHAnsi"/>
          <w:sz w:val="20"/>
        </w:rPr>
        <w:t>(2), n.</w:t>
      </w:r>
      <w:r w:rsidR="00F23696" w:rsidRPr="009104CD">
        <w:rPr>
          <w:rFonts w:asciiTheme="minorHAnsi" w:eastAsiaTheme="majorEastAsia" w:hAnsiTheme="minorHAnsi"/>
          <w:sz w:val="20"/>
        </w:rPr>
        <w:t xml:space="preserve"> </w:t>
      </w:r>
      <w:r w:rsidRPr="009104CD">
        <w:rPr>
          <w:rFonts w:asciiTheme="minorHAnsi" w:eastAsiaTheme="majorEastAsia" w:hAnsiTheme="minorHAnsi"/>
          <w:sz w:val="20"/>
        </w:rPr>
        <w:t>p. Retrieved from</w:t>
      </w:r>
      <w:r w:rsidRPr="009104CD">
        <w:rPr>
          <w:rFonts w:asciiTheme="minorHAnsi" w:hAnsiTheme="minorHAnsi"/>
          <w:sz w:val="20"/>
        </w:rPr>
        <w:t xml:space="preserve"> </w:t>
      </w:r>
      <w:hyperlink r:id="rId9" w:history="1">
        <w:r w:rsidRPr="009104CD">
          <w:rPr>
            <w:rStyle w:val="Hyperlink"/>
            <w:rFonts w:asciiTheme="minorHAnsi" w:hAnsiTheme="minorHAnsi"/>
            <w:sz w:val="20"/>
          </w:rPr>
          <w:t>http://praxis.uwc.utexas.edu/index.php/praxis/article/view/84</w:t>
        </w:r>
      </w:hyperlink>
      <w:r w:rsidRPr="009104CD">
        <w:rPr>
          <w:rFonts w:asciiTheme="minorHAnsi" w:hAnsiTheme="minorHAnsi"/>
          <w:sz w:val="20"/>
        </w:rPr>
        <w:t xml:space="preserve">. </w:t>
      </w:r>
    </w:p>
    <w:p w14:paraId="7FCD2719" w14:textId="77777777" w:rsidR="009104CD" w:rsidRPr="009104CD" w:rsidRDefault="009104CD" w:rsidP="00792C50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Simpson, S. (2014). </w:t>
      </w:r>
      <w:proofErr w:type="gramStart"/>
      <w:r w:rsidRPr="009104CD">
        <w:rPr>
          <w:rFonts w:asciiTheme="minorHAnsi" w:eastAsiaTheme="majorEastAsia" w:hAnsiTheme="minorHAnsi"/>
          <w:sz w:val="20"/>
        </w:rPr>
        <w:t>A graduate-level STEM communication fellows program for L1 and L2 students at a science and engineering university.</w:t>
      </w:r>
      <w:proofErr w:type="gramEnd"/>
      <w:r w:rsidRPr="009104CD">
        <w:rPr>
          <w:rFonts w:asciiTheme="minorHAnsi" w:eastAsiaTheme="majorEastAsia" w:hAnsiTheme="minorHAnsi"/>
          <w:sz w:val="20"/>
        </w:rPr>
        <w:t xml:space="preserve"> </w:t>
      </w:r>
      <w:r w:rsidRPr="009104CD">
        <w:rPr>
          <w:rFonts w:asciiTheme="minorHAnsi" w:eastAsiaTheme="majorEastAsia" w:hAnsiTheme="minorHAnsi"/>
          <w:i/>
          <w:sz w:val="20"/>
        </w:rPr>
        <w:t xml:space="preserve">CCCC, </w:t>
      </w:r>
      <w:r w:rsidRPr="009104CD">
        <w:rPr>
          <w:rFonts w:asciiTheme="minorHAnsi" w:eastAsiaTheme="majorEastAsia" w:hAnsiTheme="minorHAnsi"/>
          <w:sz w:val="20"/>
        </w:rPr>
        <w:t>Indianapolis.</w:t>
      </w:r>
    </w:p>
    <w:p w14:paraId="7C61EE7A" w14:textId="77777777" w:rsidR="00792C50" w:rsidRPr="009104CD" w:rsidRDefault="00792C50" w:rsidP="00792C50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Simpson, S. (2013). Building for sustainability: Dissertation boot camp as a nexus of graduate writing support. </w:t>
      </w:r>
      <w:r w:rsidRPr="009104CD">
        <w:rPr>
          <w:rFonts w:asciiTheme="minorHAnsi" w:eastAsiaTheme="majorEastAsia" w:hAnsiTheme="minorHAnsi"/>
          <w:i/>
          <w:iCs/>
          <w:sz w:val="20"/>
        </w:rPr>
        <w:t>Praxis: A Writing Center Journal, 10</w:t>
      </w:r>
      <w:r w:rsidRPr="009104CD">
        <w:rPr>
          <w:rFonts w:asciiTheme="minorHAnsi" w:eastAsiaTheme="majorEastAsia" w:hAnsiTheme="minorHAnsi"/>
          <w:sz w:val="20"/>
        </w:rPr>
        <w:t>(2), n. p. Retrieved from</w:t>
      </w:r>
      <w:r w:rsidRPr="009104CD">
        <w:rPr>
          <w:rFonts w:asciiTheme="minorHAnsi" w:eastAsiaTheme="majorEastAsia" w:hAnsiTheme="minorHAnsi"/>
          <w:sz w:val="20"/>
        </w:rPr>
        <w:br/>
      </w:r>
      <w:hyperlink r:id="rId10" w:history="1">
        <w:r w:rsidRPr="009104CD">
          <w:rPr>
            <w:rStyle w:val="Hyperlink"/>
            <w:rFonts w:asciiTheme="minorHAnsi" w:eastAsiaTheme="majorEastAsia" w:hAnsiTheme="minorHAnsi"/>
            <w:sz w:val="20"/>
          </w:rPr>
          <w:t>http://praxis.uwc.utexas.edu/index.php/praxis/article/view/129</w:t>
        </w:r>
      </w:hyperlink>
      <w:r w:rsidRPr="009104CD">
        <w:rPr>
          <w:rFonts w:asciiTheme="minorHAnsi" w:eastAsiaTheme="majorEastAsia" w:hAnsiTheme="minorHAnsi"/>
          <w:sz w:val="20"/>
        </w:rPr>
        <w:t>.</w:t>
      </w:r>
    </w:p>
    <w:p w14:paraId="5406BD06" w14:textId="77777777" w:rsidR="00D5445B" w:rsidRPr="009104CD" w:rsidRDefault="00D5445B" w:rsidP="00D5445B">
      <w:pPr>
        <w:ind w:left="720" w:hanging="720"/>
        <w:rPr>
          <w:rFonts w:asciiTheme="minorHAnsi" w:eastAsiaTheme="majorEastAsia" w:hAnsiTheme="minorHAnsi"/>
          <w:sz w:val="20"/>
        </w:rPr>
      </w:pPr>
      <w:r w:rsidRPr="009104CD">
        <w:rPr>
          <w:rFonts w:asciiTheme="minorHAnsi" w:eastAsiaTheme="majorEastAsia" w:hAnsiTheme="minorHAnsi"/>
          <w:sz w:val="20"/>
        </w:rPr>
        <w:t xml:space="preserve">Simpson, S. (2012). The problem of graduate-level writing support: Building a cross-campus graduate writing initiative. </w:t>
      </w:r>
      <w:proofErr w:type="gramStart"/>
      <w:r w:rsidRPr="009104CD">
        <w:rPr>
          <w:rFonts w:asciiTheme="minorHAnsi" w:eastAsiaTheme="majorEastAsia" w:hAnsiTheme="minorHAnsi"/>
          <w:i/>
          <w:iCs/>
          <w:sz w:val="20"/>
        </w:rPr>
        <w:t>WPA, 36</w:t>
      </w:r>
      <w:r w:rsidRPr="009104CD">
        <w:rPr>
          <w:rFonts w:asciiTheme="minorHAnsi" w:eastAsiaTheme="majorEastAsia" w:hAnsiTheme="minorHAnsi"/>
          <w:sz w:val="20"/>
        </w:rPr>
        <w:t>(1), 95-118.</w:t>
      </w:r>
      <w:proofErr w:type="gramEnd"/>
      <w:r w:rsidRPr="009104CD">
        <w:rPr>
          <w:rFonts w:asciiTheme="minorHAnsi" w:eastAsiaTheme="majorEastAsia" w:hAnsiTheme="minorHAnsi"/>
          <w:sz w:val="20"/>
        </w:rPr>
        <w:t xml:space="preserve"> </w:t>
      </w:r>
    </w:p>
    <w:p w14:paraId="218E6F04" w14:textId="77777777" w:rsidR="00442766" w:rsidRPr="009104CD" w:rsidRDefault="00442766" w:rsidP="00D5445B">
      <w:pPr>
        <w:ind w:left="720" w:hanging="720"/>
        <w:rPr>
          <w:rFonts w:asciiTheme="minorHAnsi" w:eastAsiaTheme="majorEastAsia" w:hAnsiTheme="minorHAnsi"/>
          <w:sz w:val="20"/>
        </w:rPr>
      </w:pPr>
    </w:p>
    <w:p w14:paraId="7045AC24" w14:textId="77777777" w:rsidR="00D5445B" w:rsidRPr="009104CD" w:rsidRDefault="00D5445B" w:rsidP="007D2766">
      <w:pPr>
        <w:ind w:left="720" w:hanging="720"/>
        <w:rPr>
          <w:rFonts w:asciiTheme="minorHAnsi" w:hAnsiTheme="minorHAnsi"/>
          <w:sz w:val="20"/>
        </w:rPr>
      </w:pPr>
    </w:p>
    <w:sectPr w:rsidR="00D5445B" w:rsidRPr="009104CD" w:rsidSect="009104C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0B65F" w14:textId="77777777" w:rsidR="009104CD" w:rsidRDefault="009104CD" w:rsidP="009104CD">
      <w:r>
        <w:separator/>
      </w:r>
    </w:p>
  </w:endnote>
  <w:endnote w:type="continuationSeparator" w:id="0">
    <w:p w14:paraId="22A88532" w14:textId="77777777" w:rsidR="009104CD" w:rsidRDefault="009104CD" w:rsidP="009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CE18" w14:textId="77777777" w:rsidR="009104CD" w:rsidRDefault="009104CD">
    <w:pPr>
      <w:pStyle w:val="Footer"/>
    </w:pPr>
    <w:r>
      <w:t>Michelle Cox, Dartmouth College, michelle.cox@dartmouth.edu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9CA0E" w14:textId="77777777" w:rsidR="009104CD" w:rsidRDefault="009104CD" w:rsidP="009104CD">
      <w:r>
        <w:separator/>
      </w:r>
    </w:p>
  </w:footnote>
  <w:footnote w:type="continuationSeparator" w:id="0">
    <w:p w14:paraId="7F3F3C2B" w14:textId="77777777" w:rsidR="009104CD" w:rsidRDefault="009104CD" w:rsidP="009104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071AC" w14:textId="77777777" w:rsidR="009104CD" w:rsidRDefault="009104CD">
    <w:pPr>
      <w:pStyle w:val="Header"/>
    </w:pPr>
    <w:r>
      <w:t>TESOL 2014, Portland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66"/>
    <w:rsid w:val="00036400"/>
    <w:rsid w:val="00442766"/>
    <w:rsid w:val="00792C50"/>
    <w:rsid w:val="007D2766"/>
    <w:rsid w:val="009104CD"/>
    <w:rsid w:val="00C64218"/>
    <w:rsid w:val="00D5445B"/>
    <w:rsid w:val="00DF5C8D"/>
    <w:rsid w:val="00F2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D7B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6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766"/>
    <w:rPr>
      <w:color w:val="0000FF" w:themeColor="hyperlink"/>
      <w:u w:val="single"/>
    </w:rPr>
  </w:style>
  <w:style w:type="character" w:styleId="Emphasis">
    <w:name w:val="Emphasis"/>
    <w:uiPriority w:val="20"/>
    <w:qFormat/>
    <w:rsid w:val="007D27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0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C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CD"/>
    <w:rPr>
      <w:rFonts w:ascii="Times" w:eastAsia="Times New Roman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6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766"/>
    <w:rPr>
      <w:color w:val="0000FF" w:themeColor="hyperlink"/>
      <w:u w:val="single"/>
    </w:rPr>
  </w:style>
  <w:style w:type="character" w:styleId="Emphasis">
    <w:name w:val="Emphasis"/>
    <w:uiPriority w:val="20"/>
    <w:qFormat/>
    <w:rsid w:val="007D276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04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4C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4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4CD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ac.colostate.edu/atd/ell/patton.cfm" TargetMode="External"/><Relationship Id="rId8" Type="http://schemas.openxmlformats.org/officeDocument/2006/relationships/hyperlink" Target="http://praxis.uwc.utexas.edu/index.php/praxis/article/view/81" TargetMode="External"/><Relationship Id="rId9" Type="http://schemas.openxmlformats.org/officeDocument/2006/relationships/hyperlink" Target="http://praxis.uwc.utexas.edu/index.php/praxis/article/view/84" TargetMode="External"/><Relationship Id="rId10" Type="http://schemas.openxmlformats.org/officeDocument/2006/relationships/hyperlink" Target="http://praxis.uwc.utexas.edu/index.php/praxis/article/view/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396</Words>
  <Characters>3925</Characters>
  <Application>Microsoft Macintosh Word</Application>
  <DocSecurity>0</DocSecurity>
  <Lines>74</Lines>
  <Paragraphs>63</Paragraphs>
  <ScaleCrop>false</ScaleCrop>
  <Company>Dartmouth College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Cox</dc:creator>
  <cp:keywords/>
  <dc:description/>
  <cp:lastModifiedBy>Michelle Cox</cp:lastModifiedBy>
  <cp:revision>2</cp:revision>
  <dcterms:created xsi:type="dcterms:W3CDTF">2014-03-26T19:52:00Z</dcterms:created>
  <dcterms:modified xsi:type="dcterms:W3CDTF">2014-03-26T21:27:00Z</dcterms:modified>
</cp:coreProperties>
</file>